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5B" w:rsidRPr="00F61352" w:rsidRDefault="0073565B" w:rsidP="0073565B">
      <w:pPr>
        <w:spacing w:line="275" w:lineRule="exact"/>
        <w:ind w:left="123" w:right="16"/>
        <w:jc w:val="center"/>
        <w:rPr>
          <w:rFonts w:ascii="Times New Roman" w:hAnsi="Times New Roman"/>
          <w:b/>
          <w:sz w:val="24"/>
          <w:szCs w:val="24"/>
        </w:rPr>
      </w:pPr>
      <w:r w:rsidRPr="00D62648">
        <w:rPr>
          <w:rFonts w:ascii="Times New Roman" w:hAnsi="Times New Roman"/>
          <w:b/>
          <w:sz w:val="24"/>
          <w:szCs w:val="24"/>
        </w:rPr>
        <w:t>23A56101P</w:t>
      </w:r>
      <w:r>
        <w:rPr>
          <w:rFonts w:ascii="Times New Roman" w:hAnsi="Times New Roman"/>
          <w:b/>
          <w:sz w:val="24"/>
          <w:szCs w:val="24"/>
        </w:rPr>
        <w:t>-</w:t>
      </w:r>
      <w:r w:rsidRPr="00F61352">
        <w:rPr>
          <w:rFonts w:ascii="Times New Roman" w:hAnsi="Times New Roman"/>
          <w:b/>
          <w:sz w:val="24"/>
          <w:szCs w:val="24"/>
        </w:rPr>
        <w:t>ENGINEERING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1352">
        <w:rPr>
          <w:rFonts w:ascii="Times New Roman" w:hAnsi="Times New Roman"/>
          <w:b/>
          <w:sz w:val="24"/>
          <w:szCs w:val="24"/>
        </w:rPr>
        <w:t>PHYSICS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1352">
        <w:rPr>
          <w:rFonts w:ascii="Times New Roman" w:hAnsi="Times New Roman"/>
          <w:b/>
          <w:sz w:val="24"/>
          <w:szCs w:val="24"/>
        </w:rPr>
        <w:t>LAB</w:t>
      </w:r>
    </w:p>
    <w:p w:rsidR="0073565B" w:rsidRPr="001E45A4" w:rsidRDefault="0073565B" w:rsidP="0073565B">
      <w:pPr>
        <w:pStyle w:val="Heading1"/>
        <w:ind w:left="123" w:right="23"/>
        <w:jc w:val="center"/>
        <w:rPr>
          <w:color w:val="auto"/>
          <w:sz w:val="24"/>
          <w:szCs w:val="24"/>
        </w:rPr>
      </w:pPr>
      <w:r w:rsidRPr="001E45A4">
        <w:rPr>
          <w:color w:val="auto"/>
          <w:sz w:val="24"/>
          <w:szCs w:val="24"/>
        </w:rPr>
        <w:t>(Common</w:t>
      </w:r>
      <w:r>
        <w:rPr>
          <w:color w:val="auto"/>
          <w:sz w:val="24"/>
          <w:szCs w:val="24"/>
        </w:rPr>
        <w:t xml:space="preserve"> </w:t>
      </w:r>
      <w:r w:rsidRPr="001E45A4">
        <w:rPr>
          <w:color w:val="auto"/>
          <w:sz w:val="24"/>
          <w:szCs w:val="24"/>
        </w:rPr>
        <w:t>to</w:t>
      </w:r>
      <w:r>
        <w:rPr>
          <w:color w:val="auto"/>
          <w:sz w:val="24"/>
          <w:szCs w:val="24"/>
        </w:rPr>
        <w:t xml:space="preserve"> </w:t>
      </w:r>
      <w:r w:rsidRPr="001E45A4">
        <w:rPr>
          <w:color w:val="auto"/>
          <w:sz w:val="24"/>
          <w:szCs w:val="24"/>
        </w:rPr>
        <w:t>All</w:t>
      </w:r>
      <w:r>
        <w:rPr>
          <w:color w:val="auto"/>
          <w:sz w:val="24"/>
          <w:szCs w:val="24"/>
        </w:rPr>
        <w:t xml:space="preserve"> </w:t>
      </w:r>
      <w:r w:rsidRPr="001E45A4">
        <w:rPr>
          <w:color w:val="auto"/>
          <w:sz w:val="24"/>
          <w:szCs w:val="24"/>
        </w:rPr>
        <w:t>Branches</w:t>
      </w:r>
      <w:r>
        <w:rPr>
          <w:color w:val="auto"/>
          <w:sz w:val="24"/>
          <w:szCs w:val="24"/>
        </w:rPr>
        <w:t xml:space="preserve"> </w:t>
      </w:r>
      <w:r w:rsidRPr="001E45A4">
        <w:rPr>
          <w:color w:val="auto"/>
          <w:sz w:val="24"/>
          <w:szCs w:val="24"/>
        </w:rPr>
        <w:t>of</w:t>
      </w:r>
      <w:r>
        <w:rPr>
          <w:color w:val="auto"/>
          <w:sz w:val="24"/>
          <w:szCs w:val="24"/>
        </w:rPr>
        <w:t xml:space="preserve"> </w:t>
      </w:r>
      <w:r w:rsidRPr="001E45A4">
        <w:rPr>
          <w:color w:val="auto"/>
          <w:sz w:val="24"/>
          <w:szCs w:val="24"/>
        </w:rPr>
        <w:t>Engineering)</w:t>
      </w:r>
    </w:p>
    <w:p w:rsidR="0073565B" w:rsidRPr="0081205C" w:rsidRDefault="0073565B" w:rsidP="0073565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3565B" w:rsidRPr="00F61352" w:rsidRDefault="0073565B" w:rsidP="0073565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4"/>
        <w:gridCol w:w="3330"/>
        <w:gridCol w:w="3510"/>
        <w:gridCol w:w="1528"/>
      </w:tblGrid>
      <w:tr w:rsidR="0073565B" w:rsidRPr="00F61352" w:rsidTr="003827BF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Basic sciences &amp; Humanities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73565B" w:rsidRPr="00F61352" w:rsidTr="003827B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0-0-2</w:t>
            </w:r>
          </w:p>
        </w:tc>
      </w:tr>
      <w:tr w:rsidR="0073565B" w:rsidRPr="00F61352" w:rsidTr="003827BF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Basic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principles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physics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Sessional Evaluation:</w:t>
            </w:r>
          </w:p>
          <w:p w:rsidR="0073565B" w:rsidRPr="00F61352" w:rsidRDefault="0073565B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External Exam Evaluation:</w:t>
            </w:r>
          </w:p>
          <w:p w:rsidR="0073565B" w:rsidRPr="00F61352" w:rsidRDefault="0073565B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30</w:t>
            </w:r>
          </w:p>
          <w:p w:rsidR="0073565B" w:rsidRPr="00F61352" w:rsidRDefault="0073565B" w:rsidP="003827B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70</w:t>
            </w:r>
          </w:p>
          <w:p w:rsidR="0073565B" w:rsidRPr="00F61352" w:rsidRDefault="0073565B" w:rsidP="003827B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  <w:tr w:rsidR="0073565B" w:rsidRPr="00F61352" w:rsidTr="003827BF">
        <w:trPr>
          <w:trHeight w:val="3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Students undergoing this course are expected:</w:t>
            </w:r>
          </w:p>
        </w:tc>
      </w:tr>
      <w:tr w:rsidR="0073565B" w:rsidRPr="00F61352" w:rsidTr="003827BF">
        <w:trPr>
          <w:trHeight w:val="9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pStyle w:val="BodyText"/>
              <w:ind w:left="140" w:right="997"/>
            </w:pPr>
            <w:r w:rsidRPr="00F61352">
              <w:t>To study the concepts of optical phenomenon like interference, diffraction etc., recognize the</w:t>
            </w:r>
            <w:r>
              <w:t xml:space="preserve"> </w:t>
            </w:r>
            <w:r w:rsidRPr="00F61352">
              <w:t>importance of energy gap in the study of conductivity and Hall effect in semiconductors and</w:t>
            </w:r>
            <w:r>
              <w:t xml:space="preserve"> </w:t>
            </w:r>
            <w:r w:rsidRPr="00F61352">
              <w:t>study the parameters and applications of dielectric and magnetic materials by conducting</w:t>
            </w:r>
            <w:r>
              <w:t xml:space="preserve"> </w:t>
            </w:r>
            <w:r w:rsidRPr="00F61352">
              <w:t>experiments.</w:t>
            </w:r>
          </w:p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73565B" w:rsidRPr="00F61352" w:rsidTr="003827BF">
        <w:trPr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completion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course,the students are able to :-</w:t>
            </w:r>
          </w:p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73565B" w:rsidRPr="00F61352" w:rsidTr="003827BF">
        <w:trPr>
          <w:trHeight w:val="3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CO1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 w:rsidRPr="00341DA4">
              <w:rPr>
                <w:rFonts w:ascii="Times New Roman" w:hAnsi="Times New Roman"/>
                <w:sz w:val="24"/>
                <w:szCs w:val="24"/>
              </w:rPr>
              <w:t xml:space="preserve">Operate optical instruments like travelling microscope and spectrometer. </w:t>
            </w:r>
          </w:p>
        </w:tc>
      </w:tr>
      <w:tr w:rsidR="0073565B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65B" w:rsidRPr="00F61352" w:rsidRDefault="0073565B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CO2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B17D00">
              <w:rPr>
                <w:rFonts w:ascii="Times New Roman" w:hAnsi="Times New Roman"/>
                <w:sz w:val="24"/>
                <w:szCs w:val="24"/>
              </w:rPr>
              <w:t>Estimate the wavelengths of different colours using diffraction grating.</w:t>
            </w:r>
          </w:p>
        </w:tc>
      </w:tr>
      <w:tr w:rsidR="0073565B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5B" w:rsidRPr="00F61352" w:rsidRDefault="0073565B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CO3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B17D00">
              <w:rPr>
                <w:rFonts w:ascii="Times New Roman" w:hAnsi="Times New Roman"/>
                <w:sz w:val="24"/>
                <w:szCs w:val="24"/>
              </w:rPr>
              <w:t>Plot the intensity of the magnetic field of circular coil carrying current with distance.</w:t>
            </w:r>
          </w:p>
        </w:tc>
      </w:tr>
      <w:tr w:rsidR="0073565B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5B" w:rsidRPr="00F61352" w:rsidRDefault="0073565B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CO4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B60C23">
              <w:rPr>
                <w:rFonts w:ascii="Times New Roman" w:hAnsi="Times New Roman"/>
                <w:sz w:val="24"/>
                <w:szCs w:val="24"/>
              </w:rPr>
              <w:t xml:space="preserve">Evaluate dielectric constant and magnetic susceptibility for dielectric and magnetic materials respectively. </w:t>
            </w:r>
          </w:p>
        </w:tc>
      </w:tr>
      <w:tr w:rsidR="0073565B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5B" w:rsidRPr="00F61352" w:rsidRDefault="0073565B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CO5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0C5EDD">
              <w:rPr>
                <w:rFonts w:ascii="Times New Roman" w:hAnsi="Times New Roman"/>
                <w:sz w:val="24"/>
                <w:szCs w:val="24"/>
              </w:rPr>
              <w:t xml:space="preserve">Calculate the band gap of a given semiconductor. </w:t>
            </w:r>
          </w:p>
        </w:tc>
      </w:tr>
      <w:tr w:rsidR="0073565B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5B" w:rsidRPr="00F61352" w:rsidRDefault="0073565B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CO6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 w:rsidRPr="00906EE1">
              <w:rPr>
                <w:rFonts w:ascii="Times New Roman" w:hAnsi="Times New Roman"/>
                <w:sz w:val="24"/>
                <w:szCs w:val="24"/>
              </w:rPr>
              <w:t xml:space="preserve">Identify the type of semiconductor using Hall effect. </w:t>
            </w:r>
          </w:p>
        </w:tc>
      </w:tr>
      <w:tr w:rsidR="0073565B" w:rsidRPr="00F61352" w:rsidTr="003827BF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3565B" w:rsidRPr="00F61352" w:rsidRDefault="0073565B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3565B" w:rsidRPr="00F61352" w:rsidRDefault="0073565B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3565B" w:rsidRPr="00F61352" w:rsidRDefault="0073565B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3827BF">
            <w:pPr>
              <w:pStyle w:val="ListParagraph"/>
              <w:widowControl w:val="0"/>
              <w:tabs>
                <w:tab w:val="left" w:pos="861"/>
              </w:tabs>
              <w:autoSpaceDE w:val="0"/>
              <w:autoSpaceDN w:val="0"/>
              <w:spacing w:line="274" w:lineRule="exact"/>
              <w:ind w:left="787"/>
              <w:contextualSpacing w:val="0"/>
              <w:jc w:val="center"/>
              <w:rPr>
                <w:b/>
                <w:bCs/>
              </w:rPr>
            </w:pPr>
            <w:r w:rsidRPr="00F61352">
              <w:rPr>
                <w:b/>
                <w:bCs/>
              </w:rPr>
              <w:t>List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Experiments</w:t>
            </w:r>
          </w:p>
          <w:p w:rsidR="0073565B" w:rsidRPr="00F61352" w:rsidRDefault="0073565B" w:rsidP="003827BF">
            <w:pPr>
              <w:pStyle w:val="ListParagraph"/>
              <w:widowControl w:val="0"/>
              <w:tabs>
                <w:tab w:val="left" w:pos="861"/>
              </w:tabs>
              <w:autoSpaceDE w:val="0"/>
              <w:autoSpaceDN w:val="0"/>
              <w:spacing w:line="274" w:lineRule="exact"/>
              <w:ind w:left="787"/>
              <w:contextualSpacing w:val="0"/>
            </w:pP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4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radius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curvature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planoconvex</w:t>
            </w:r>
            <w:r>
              <w:t xml:space="preserve"> </w:t>
            </w:r>
            <w:r w:rsidRPr="00F61352">
              <w:t>lens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Newton’s rings.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wavelengths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different</w:t>
            </w:r>
            <w:r>
              <w:t xml:space="preserve"> </w:t>
            </w:r>
            <w:r w:rsidRPr="00F61352">
              <w:t>spectral</w:t>
            </w:r>
            <w:r>
              <w:t xml:space="preserve"> </w:t>
            </w:r>
            <w:r w:rsidRPr="00F61352">
              <w:t>lines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mercury</w:t>
            </w:r>
            <w:r>
              <w:t xml:space="preserve"> </w:t>
            </w:r>
            <w:r w:rsidRPr="00F61352">
              <w:t>spectrum</w:t>
            </w:r>
            <w:r>
              <w:t xml:space="preserve"> </w:t>
            </w:r>
            <w:r w:rsidRPr="00F61352">
              <w:t>using diffraction</w:t>
            </w:r>
            <w:r>
              <w:t xml:space="preserve"> </w:t>
            </w:r>
            <w:r w:rsidRPr="00F61352">
              <w:t xml:space="preserve">grating 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normal</w:t>
            </w:r>
            <w:r>
              <w:t xml:space="preserve"> </w:t>
            </w:r>
            <w:r w:rsidRPr="00F61352">
              <w:t>incidence</w:t>
            </w:r>
            <w:r>
              <w:t xml:space="preserve"> </w:t>
            </w:r>
            <w:r w:rsidRPr="00F61352">
              <w:t>configuration.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Verification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Brewster’s law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wavelength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Laser</w:t>
            </w:r>
            <w:r>
              <w:t xml:space="preserve"> </w:t>
            </w:r>
            <w:r w:rsidRPr="00F61352">
              <w:t>light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diffraction</w:t>
            </w:r>
            <w:r>
              <w:t xml:space="preserve"> </w:t>
            </w:r>
            <w:r w:rsidRPr="00F61352">
              <w:t>grating.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Estimation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Planck’s</w:t>
            </w:r>
            <w:r>
              <w:t xml:space="preserve"> </w:t>
            </w:r>
            <w:r w:rsidRPr="00F61352">
              <w:t>constant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photo</w:t>
            </w:r>
            <w:r>
              <w:t xml:space="preserve"> </w:t>
            </w:r>
            <w:r w:rsidRPr="00F61352">
              <w:t>electric</w:t>
            </w:r>
            <w:r>
              <w:t xml:space="preserve"> </w:t>
            </w:r>
            <w:r w:rsidRPr="00F61352">
              <w:t>effect.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5" w:after="0" w:line="237" w:lineRule="auto"/>
              <w:contextualSpacing w:val="0"/>
            </w:pPr>
            <w:r w:rsidRPr="00F61352">
              <w:t>MagneticfieldalongtheaxisofacurrentcarryingcircularcoilbyStewartGee’sMethod.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dielectric</w:t>
            </w:r>
            <w:r>
              <w:t xml:space="preserve"> </w:t>
            </w:r>
            <w:r w:rsidRPr="00F61352">
              <w:t>constant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charging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discharging</w:t>
            </w:r>
            <w:r>
              <w:t xml:space="preserve"> </w:t>
            </w:r>
            <w:r w:rsidRPr="00F61352">
              <w:t>method.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Study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variation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B</w:t>
            </w:r>
            <w:r>
              <w:t xml:space="preserve"> </w:t>
            </w:r>
            <w:r w:rsidRPr="00F61352">
              <w:t>versus</w:t>
            </w:r>
            <w:r>
              <w:t xml:space="preserve"> </w:t>
            </w:r>
            <w:r w:rsidRPr="00F61352">
              <w:t>H by magnetizing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magneti</w:t>
            </w:r>
            <w:r>
              <w:t xml:space="preserve"> </w:t>
            </w:r>
            <w:r w:rsidRPr="00F61352">
              <w:t>material</w:t>
            </w:r>
            <w:r>
              <w:t xml:space="preserve"> </w:t>
            </w:r>
            <w:r w:rsidRPr="00F61352">
              <w:t>(B-H</w:t>
            </w:r>
            <w:r>
              <w:t xml:space="preserve"> </w:t>
            </w:r>
            <w:r w:rsidRPr="00F61352">
              <w:t>curve).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1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magnetic</w:t>
            </w:r>
            <w:r>
              <w:t xml:space="preserve"> </w:t>
            </w:r>
            <w:r w:rsidRPr="00F61352">
              <w:t xml:space="preserve"> susceptibility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Kundt’s</w:t>
            </w:r>
            <w:r>
              <w:t xml:space="preserve"> </w:t>
            </w:r>
            <w:r w:rsidRPr="00F61352">
              <w:t>tube</w:t>
            </w:r>
            <w:r>
              <w:t xml:space="preserve"> </w:t>
            </w:r>
            <w:r w:rsidRPr="00F61352">
              <w:t>method.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resistivity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semiconductors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four</w:t>
            </w:r>
            <w:r>
              <w:t xml:space="preserve"> </w:t>
            </w:r>
            <w:r w:rsidRPr="00F61352">
              <w:t>probe</w:t>
            </w:r>
            <w:r>
              <w:t xml:space="preserve"> </w:t>
            </w:r>
            <w:r w:rsidRPr="00F61352">
              <w:t>methods.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energy</w:t>
            </w:r>
            <w:r>
              <w:t xml:space="preserve"> </w:t>
            </w:r>
            <w:r w:rsidRPr="00F61352">
              <w:t>gap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semiconductor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p</w:t>
            </w:r>
            <w:r w:rsidRPr="00F61352">
              <w:rPr>
                <w:b/>
              </w:rPr>
              <w:t>-</w:t>
            </w:r>
            <w:r w:rsidRPr="00F61352">
              <w:t>n</w:t>
            </w:r>
            <w:r>
              <w:t xml:space="preserve"> </w:t>
            </w:r>
            <w:r w:rsidRPr="00F61352">
              <w:t>junction</w:t>
            </w:r>
            <w:r>
              <w:t xml:space="preserve"> </w:t>
            </w:r>
            <w:r w:rsidRPr="00F61352">
              <w:t>diode.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6" w:after="0" w:line="237" w:lineRule="auto"/>
              <w:contextualSpacing w:val="0"/>
            </w:pPr>
            <w:r w:rsidRPr="00F61352">
              <w:lastRenderedPageBreak/>
              <w:t>Determination of</w:t>
            </w:r>
            <w:r>
              <w:t xml:space="preserve"> </w:t>
            </w:r>
            <w:r w:rsidRPr="00F61352">
              <w:t xml:space="preserve"> Hall</w:t>
            </w:r>
            <w:r>
              <w:t xml:space="preserve"> </w:t>
            </w:r>
            <w:r w:rsidRPr="00F61352">
              <w:t>voltage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Hall coefficient</w:t>
            </w:r>
            <w:r>
              <w:t xml:space="preserve"> </w:t>
            </w:r>
            <w:r w:rsidRPr="00F61352">
              <w:t>of a</w:t>
            </w:r>
            <w:r>
              <w:t xml:space="preserve"> </w:t>
            </w:r>
            <w:r w:rsidRPr="00F61352">
              <w:t>given semiconductor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Hall</w:t>
            </w:r>
            <w:r>
              <w:t xml:space="preserve"> </w:t>
            </w:r>
            <w:r w:rsidRPr="00F61352">
              <w:t>effect.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temperature</w:t>
            </w:r>
            <w:r>
              <w:t xml:space="preserve"> </w:t>
            </w:r>
            <w:r w:rsidRPr="00F61352">
              <w:t>coefficients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thermistor.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4" w:after="0" w:line="237" w:lineRule="auto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rigidity</w:t>
            </w:r>
            <w:r>
              <w:t xml:space="preserve"> </w:t>
            </w:r>
            <w:r w:rsidRPr="00F61352">
              <w:t>modulus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material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wire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Torsional</w:t>
            </w:r>
            <w:r>
              <w:t xml:space="preserve"> </w:t>
            </w:r>
            <w:r w:rsidRPr="00F61352">
              <w:t>pendulum.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young’s</w:t>
            </w:r>
            <w:r>
              <w:t xml:space="preserve"> </w:t>
            </w:r>
            <w:r w:rsidRPr="00F61352">
              <w:t>modulus</w:t>
            </w:r>
            <w:r>
              <w:t xml:space="preserve"> </w:t>
            </w:r>
            <w:r w:rsidRPr="00F61352">
              <w:t>for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material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wooden</w:t>
            </w:r>
            <w:r>
              <w:t xml:space="preserve"> </w:t>
            </w:r>
            <w:r w:rsidRPr="00F61352">
              <w:t>scale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non-uniform</w:t>
            </w:r>
            <w:r>
              <w:t xml:space="preserve"> </w:t>
            </w:r>
            <w:r w:rsidRPr="00F61352">
              <w:t>bending</w:t>
            </w:r>
            <w:r>
              <w:t xml:space="preserve"> </w:t>
            </w:r>
            <w:r w:rsidRPr="00F61352">
              <w:t>(or</w:t>
            </w:r>
            <w:r>
              <w:t xml:space="preserve"> </w:t>
            </w:r>
            <w:r w:rsidRPr="00F61352">
              <w:t>double</w:t>
            </w:r>
            <w:r>
              <w:t xml:space="preserve"> </w:t>
            </w:r>
            <w:r w:rsidRPr="00F61352">
              <w:t>can</w:t>
            </w:r>
            <w:r>
              <w:t xml:space="preserve"> </w:t>
            </w:r>
            <w:r w:rsidRPr="00F61352">
              <w:t>til</w:t>
            </w:r>
            <w:r>
              <w:t xml:space="preserve"> </w:t>
            </w:r>
            <w:r w:rsidRPr="00F61352">
              <w:t>ever)method.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contextualSpacing w:val="0"/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Frequency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electrically</w:t>
            </w:r>
            <w:r>
              <w:t xml:space="preserve"> </w:t>
            </w:r>
            <w:r w:rsidRPr="00F61352">
              <w:t>maintained</w:t>
            </w:r>
            <w:r>
              <w:t xml:space="preserve"> </w:t>
            </w:r>
            <w:r w:rsidRPr="00F61352">
              <w:t>tuning</w:t>
            </w:r>
            <w:r>
              <w:t xml:space="preserve"> </w:t>
            </w:r>
            <w:r w:rsidRPr="00F61352">
              <w:t>fork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Melde’s</w:t>
            </w:r>
            <w:r>
              <w:t xml:space="preserve"> </w:t>
            </w:r>
            <w:r w:rsidRPr="00F61352">
              <w:t>experiment.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Sono</w:t>
            </w:r>
            <w:r>
              <w:t xml:space="preserve"> </w:t>
            </w:r>
            <w:r w:rsidRPr="00F61352">
              <w:t>meter: Verification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laws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stretched</w:t>
            </w:r>
            <w:r>
              <w:t xml:space="preserve"> </w:t>
            </w:r>
            <w:r w:rsidRPr="00F61352">
              <w:t>string.</w:t>
            </w:r>
          </w:p>
          <w:p w:rsidR="0073565B" w:rsidRPr="00F61352" w:rsidRDefault="0073565B" w:rsidP="0073565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contextualSpacing w:val="0"/>
              <w:rPr>
                <w:rFonts w:eastAsia="Calibri"/>
                <w:color w:val="000000" w:themeColor="text1"/>
                <w:u w:color="000000"/>
              </w:rPr>
            </w:pPr>
            <w:r w:rsidRPr="00F61352">
              <w:t>Determination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acceleration</w:t>
            </w:r>
            <w:r>
              <w:t xml:space="preserve"> </w:t>
            </w:r>
            <w:r w:rsidRPr="00F61352">
              <w:t>due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gravity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radius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Gyration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compound</w:t>
            </w:r>
            <w:r>
              <w:t xml:space="preserve"> </w:t>
            </w:r>
            <w:r w:rsidRPr="00F61352">
              <w:t>pendulum.</w:t>
            </w:r>
          </w:p>
          <w:p w:rsidR="0073565B" w:rsidRPr="00F61352" w:rsidRDefault="0073565B" w:rsidP="003827BF">
            <w:pPr>
              <w:widowControl w:val="0"/>
              <w:tabs>
                <w:tab w:val="left" w:pos="861"/>
              </w:tabs>
              <w:autoSpaceDE w:val="0"/>
              <w:autoSpaceDN w:val="0"/>
              <w:spacing w:before="3" w:line="275" w:lineRule="exact"/>
              <w:ind w:left="426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</w:p>
          <w:p w:rsidR="0073565B" w:rsidRPr="00F61352" w:rsidRDefault="0073565B" w:rsidP="003827BF">
            <w:pPr>
              <w:pStyle w:val="BodyText"/>
              <w:spacing w:line="271" w:lineRule="exact"/>
              <w:ind w:left="140"/>
            </w:pPr>
            <w:r w:rsidRPr="00F61352">
              <w:rPr>
                <w:b/>
              </w:rPr>
              <w:t>Note:</w:t>
            </w:r>
            <w:r>
              <w:rPr>
                <w:b/>
              </w:rPr>
              <w:t xml:space="preserve"> </w:t>
            </w:r>
            <w:r w:rsidRPr="00F61352">
              <w:t>Any</w:t>
            </w:r>
            <w:r>
              <w:t xml:space="preserve"> </w:t>
            </w:r>
            <w:r w:rsidRPr="00F61352">
              <w:rPr>
                <w:b/>
              </w:rPr>
              <w:t>TEN</w:t>
            </w:r>
            <w:r>
              <w:rPr>
                <w:b/>
              </w:rP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listed</w:t>
            </w:r>
            <w:r>
              <w:t xml:space="preserve"> </w:t>
            </w:r>
            <w:r w:rsidRPr="00F61352">
              <w:t>experiments</w:t>
            </w:r>
            <w:r>
              <w:t xml:space="preserve"> </w:t>
            </w:r>
            <w:r w:rsidRPr="00F61352">
              <w:t>are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be</w:t>
            </w:r>
            <w:r>
              <w:t xml:space="preserve"> </w:t>
            </w:r>
            <w:r w:rsidRPr="00F61352">
              <w:t>conducted.</w:t>
            </w:r>
            <w:r>
              <w:t xml:space="preserve"> </w:t>
            </w:r>
            <w:r w:rsidRPr="00F61352">
              <w:t>Out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which</w:t>
            </w:r>
            <w:r>
              <w:t xml:space="preserve"> </w:t>
            </w:r>
            <w:r w:rsidRPr="00F61352">
              <w:t>any</w:t>
            </w:r>
            <w:r>
              <w:t xml:space="preserve"> </w:t>
            </w:r>
            <w:r w:rsidRPr="00F61352">
              <w:rPr>
                <w:b/>
              </w:rPr>
              <w:t xml:space="preserve">TWO </w:t>
            </w:r>
            <w:r w:rsidRPr="00F61352">
              <w:t>experiments may</w:t>
            </w:r>
            <w:r>
              <w:t xml:space="preserve"> </w:t>
            </w:r>
            <w:r w:rsidRPr="00F61352">
              <w:t>be</w:t>
            </w:r>
            <w:r>
              <w:t xml:space="preserve"> </w:t>
            </w:r>
            <w:r w:rsidRPr="00F61352">
              <w:t>conducted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virtual</w:t>
            </w:r>
            <w:r>
              <w:t xml:space="preserve"> </w:t>
            </w:r>
            <w:r w:rsidRPr="00F61352">
              <w:t>mode.</w:t>
            </w:r>
          </w:p>
          <w:p w:rsidR="0073565B" w:rsidRPr="00F61352" w:rsidRDefault="0073565B" w:rsidP="003827BF">
            <w:pPr>
              <w:pStyle w:val="BodyText"/>
              <w:spacing w:line="271" w:lineRule="exact"/>
              <w:ind w:left="140"/>
              <w:rPr>
                <w:rFonts w:eastAsia="Calibri"/>
                <w:color w:val="000000" w:themeColor="text1"/>
                <w:u w:color="000000"/>
              </w:rPr>
            </w:pPr>
          </w:p>
        </w:tc>
      </w:tr>
      <w:tr w:rsidR="0073565B" w:rsidRPr="00F61352" w:rsidTr="003827B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5B" w:rsidRPr="00F61352" w:rsidRDefault="0073565B" w:rsidP="003827B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Reference </w:t>
            </w: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Books</w:t>
            </w:r>
          </w:p>
          <w:p w:rsidR="0073565B" w:rsidRPr="00F61352" w:rsidRDefault="0073565B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5B" w:rsidRPr="00F61352" w:rsidRDefault="0073565B" w:rsidP="0073565B">
            <w:pPr>
              <w:pStyle w:val="BodyText"/>
              <w:numPr>
                <w:ilvl w:val="0"/>
                <w:numId w:val="2"/>
              </w:numPr>
              <w:spacing w:line="237" w:lineRule="auto"/>
              <w:ind w:right="999"/>
              <w:rPr>
                <w:rFonts w:eastAsia="Calibri"/>
                <w:color w:val="000000"/>
                <w:u w:color="000000"/>
              </w:rPr>
            </w:pPr>
            <w:r w:rsidRPr="00F61352">
              <w:rPr>
                <w:spacing w:val="-1"/>
              </w:rPr>
              <w:t>ATextbookofPracticalPhysics-S.Balasubramanian,</w:t>
            </w:r>
            <w:r w:rsidRPr="00F61352">
              <w:t>M.N.Srinivasan,S.ChandPublishers,2017.</w:t>
            </w:r>
          </w:p>
        </w:tc>
      </w:tr>
    </w:tbl>
    <w:p w:rsidR="0073565B" w:rsidRPr="00F61352" w:rsidRDefault="0073565B" w:rsidP="0073565B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73565B" w:rsidRPr="00F61352" w:rsidRDefault="0073565B" w:rsidP="0073565B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73565B" w:rsidRPr="00F61352" w:rsidTr="003827BF">
        <w:trPr>
          <w:trHeight w:val="388"/>
        </w:trPr>
        <w:tc>
          <w:tcPr>
            <w:tcW w:w="10477" w:type="dxa"/>
            <w:gridSpan w:val="15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73565B" w:rsidRPr="00F61352" w:rsidTr="003827BF">
        <w:trPr>
          <w:trHeight w:val="197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3565B" w:rsidRPr="00F61352" w:rsidTr="003827BF">
        <w:trPr>
          <w:trHeight w:val="303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565B" w:rsidRPr="00F61352" w:rsidTr="003827BF">
        <w:trPr>
          <w:trHeight w:val="46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565B" w:rsidRPr="00F61352" w:rsidTr="003827BF">
        <w:trPr>
          <w:trHeight w:val="310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73565B" w:rsidRPr="00F61352" w:rsidTr="003827BF">
        <w:trPr>
          <w:trHeight w:val="303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565B" w:rsidRPr="00F61352" w:rsidTr="003827BF">
        <w:trPr>
          <w:trHeight w:val="310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565B" w:rsidRPr="00F61352" w:rsidTr="003827BF">
        <w:trPr>
          <w:trHeight w:val="303"/>
        </w:trPr>
        <w:tc>
          <w:tcPr>
            <w:tcW w:w="670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3565B" w:rsidRPr="00F61352" w:rsidRDefault="0073565B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3565B" w:rsidRPr="00F61352" w:rsidRDefault="0073565B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565B" w:rsidRPr="00F61352" w:rsidRDefault="0073565B" w:rsidP="0073565B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C0" w:rsidRDefault="001A37C0" w:rsidP="0073565B">
      <w:pPr>
        <w:spacing w:after="0" w:line="240" w:lineRule="auto"/>
      </w:pPr>
      <w:r>
        <w:separator/>
      </w:r>
    </w:p>
  </w:endnote>
  <w:endnote w:type="continuationSeparator" w:id="1">
    <w:p w:rsidR="001A37C0" w:rsidRDefault="001A37C0" w:rsidP="0073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C0" w:rsidRDefault="001A37C0" w:rsidP="0073565B">
      <w:pPr>
        <w:spacing w:after="0" w:line="240" w:lineRule="auto"/>
      </w:pPr>
      <w:r>
        <w:separator/>
      </w:r>
    </w:p>
  </w:footnote>
  <w:footnote w:type="continuationSeparator" w:id="1">
    <w:p w:rsidR="001A37C0" w:rsidRDefault="001A37C0" w:rsidP="0073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3D8"/>
    <w:multiLevelType w:val="hybridMultilevel"/>
    <w:tmpl w:val="42D0751C"/>
    <w:lvl w:ilvl="0" w:tplc="1FAA3B8C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088E9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9B9A03F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493C08C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64EAFD02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E60603C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7A0EE8DC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D1262160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A9C8106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30F721C6"/>
    <w:multiLevelType w:val="hybridMultilevel"/>
    <w:tmpl w:val="29D643FE"/>
    <w:lvl w:ilvl="0" w:tplc="C402297C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color w:val="auto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5B"/>
    <w:rsid w:val="001A37C0"/>
    <w:rsid w:val="005A0C7D"/>
    <w:rsid w:val="0073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5B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735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565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56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565B"/>
    <w:pPr>
      <w:widowControl w:val="0"/>
      <w:autoSpaceDE w:val="0"/>
      <w:autoSpaceDN w:val="0"/>
      <w:spacing w:before="3" w:after="0" w:line="240" w:lineRule="auto"/>
      <w:ind w:left="107"/>
      <w:jc w:val="center"/>
    </w:pPr>
    <w:rPr>
      <w:rFonts w:ascii="Cambria" w:eastAsia="Cambria" w:hAnsi="Cambria" w:cs="Cambria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3565B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565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73565B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73565B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5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65B"/>
    <w:rPr>
      <w:kern w:val="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65B"/>
    <w:rPr>
      <w:kern w:val="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2025-02-16T06:51:00Z</dcterms:created>
  <dcterms:modified xsi:type="dcterms:W3CDTF">2025-02-16T07:04:00Z</dcterms:modified>
</cp:coreProperties>
</file>